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Rule="auto"/>
        <w:rPr>
          <w:b w:val="1"/>
          <w:sz w:val="24"/>
          <w:szCs w:val="24"/>
        </w:rPr>
      </w:pPr>
      <w:bookmarkStart w:colFirst="0" w:colLast="0" w:name="_wchbl1wgt1xo" w:id="0"/>
      <w:bookmarkEnd w:id="0"/>
      <w:r w:rsidDel="00000000" w:rsidR="00000000" w:rsidRPr="00000000">
        <w:rPr>
          <w:rtl w:val="0"/>
        </w:rPr>
        <w:t xml:space="preserve">Event registration for Australian Breaking Rankings (ABR)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Event organiser/organisation: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Name of Event: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Location: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Time: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Stand alone Breaking event or part of an event with a Breaking category: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For your event to be considered for inclusion in the ABR, you must satisfy the below requirements: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must provide the information in the link below post-event.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Event info requirements: </w:t>
      </w:r>
    </w:p>
    <w:p w:rsidR="00000000" w:rsidDel="00000000" w:rsidP="00000000" w:rsidRDefault="00000000" w:rsidRPr="00000000" w14:paraId="0000000F">
      <w:pPr>
        <w:ind w:left="720" w:firstLine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https://docs.google.com/presentation/d/1xK0qTAItmZQmnu_h29GTB2Mgba340aHqJURlX0aGRVI/edit?usp=sharing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Events must have a Breaking category with a tournament format. Under special circumstances, ABA may still include non-breaking events. ABA must be notified prior to events with special circumstances to be considered. E.g. smaller states may only be able to hold all-style events due to low numbers of bboys and bgirls.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events must have a minimum of 30 participants. E.g. 30 individuals, 15 pairs, 10 trios, etc. (special circumstances may apply to smaller scenes upon notice prior to event and approval by ABA)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must provide consent forms for all participants. This can be provided by the ABA if you cannot provide your own.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must provide the general public a minimum of 2 months notice from the date your event will take place.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If your event satisfies the above requirements and is included in the ABR, your event will be analysed by a committee where it will be categorised for point allocations according to the following criteria.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Event category criteria may include but is not limited to: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Size of event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Credibility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Stakes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National participation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Calibre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Please provide full event details prior to the event including flyer/promo material for sharing on ABA channels and ranking purposes.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4638675</wp:posOffset>
          </wp:positionH>
          <wp:positionV relativeFrom="paragraph">
            <wp:posOffset>-190499</wp:posOffset>
          </wp:positionV>
          <wp:extent cx="1958578" cy="833438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8578" cy="8334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xK0qTAItmZQmnu_h29GTB2Mgba340aHqJURlX0aGRVI/edit?usp=sharin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